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160" w:after="280" w:line="240" w:lineRule="auto"/>
        <w:jc w:val="center"/>
      </w:pPr>
      <w:r>
        <w:rPr>
          <w:rFonts w:ascii="Arial Unicode MS" w:hAnsi="Arial Unicode MS" w:eastAsia="Arial Unicode MS"/>
          <w:b/>
          <w:color w:val="9B6A00"/>
          <w:sz w:val="22"/>
        </w:rPr>
        <w:t>税务研究报告</w:t>
      </w:r>
    </w:p>
    <w:p>
      <w:pPr>
        <w:widowControl/>
        <w:spacing w:before="0" w:after="160" w:line="240" w:lineRule="auto"/>
        <w:jc w:val="center"/>
      </w:pPr>
      <w:r>
        <w:rPr>
          <w:rFonts w:ascii="Arial Unicode MS" w:hAnsi="Arial Unicode MS" w:eastAsia="Arial Unicode MS"/>
          <w:b/>
          <w:color w:val="183A5A"/>
          <w:sz w:val="56"/>
        </w:rPr>
        <w:t>中国大陆个人所得税抵扣与证书指南</w:t>
      </w:r>
    </w:p>
    <w:p>
      <w:pPr>
        <w:widowControl/>
        <w:spacing w:before="0" w:after="560" w:line="288" w:lineRule="auto"/>
        <w:jc w:val="center"/>
      </w:pPr>
      <w:r>
        <w:rPr>
          <w:rFonts w:ascii="Arial Unicode MS" w:hAnsi="Arial Unicode MS" w:eastAsia="Arial Unicode MS"/>
          <w:color w:val="1F4D78"/>
          <w:sz w:val="26"/>
        </w:rPr>
        <w:t>72项职业资格清单 · 保安员证/咖啡师证专项复核 · 家庭减税方法总表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  <w:shd w:fill="E8EEF5" w:val="clear"/>
          </w:tcPr>
          <w:p>
            <w:pPr>
              <w:spacing w:before="20" w:after="20" w:line="288" w:lineRule="auto"/>
            </w:pPr>
            <w:r>
              <w:rPr>
                <w:rFonts w:ascii="Arial Unicode MS" w:hAnsi="Arial Unicode MS" w:eastAsia="Arial Unicode MS"/>
                <w:b/>
                <w:color w:val="183A5A"/>
                <w:sz w:val="21"/>
              </w:rPr>
              <w:t>一句话结论｜</w:t>
            </w:r>
            <w:r>
              <w:rPr>
                <w:rFonts w:ascii="Arial Unicode MS" w:hAnsi="Arial Unicode MS" w:eastAsia="Arial Unicode MS"/>
                <w:color w:val="1F2D3D"/>
                <w:sz w:val="21"/>
              </w:rPr>
              <w:t>“抵税”通常是减少应纳税所得额，不是按扣除额等额退现金。证书扣除的核心不是培训费，而是“证书在国家职业资格目录内 + 在发证年度申报”。</w:t>
            </w:r>
          </w:p>
        </w:tc>
      </w:tr>
    </w:tbl>
    <w:p>
      <w:pPr>
        <w:widowControl/>
        <w:spacing w:before="360" w:after="80" w:line="276" w:lineRule="auto"/>
        <w:jc w:val="center"/>
      </w:pPr>
      <w:r>
        <w:rPr>
          <w:rFonts w:ascii="Arial Unicode MS" w:hAnsi="Arial Unicode MS" w:eastAsia="Arial Unicode MS"/>
          <w:color w:val="65717E"/>
          <w:sz w:val="20"/>
        </w:rPr>
        <w:t>适用范围：中华人民共和国境内居民个人取得的综合所得</w:t>
      </w:r>
    </w:p>
    <w:p>
      <w:pPr>
        <w:widowControl/>
        <w:spacing w:before="0" w:after="0" w:line="276" w:lineRule="auto"/>
        <w:jc w:val="center"/>
      </w:pPr>
      <w:r>
        <w:rPr>
          <w:rFonts w:ascii="Arial Unicode MS" w:hAnsi="Arial Unicode MS" w:eastAsia="Arial Unicode MS"/>
          <w:color w:val="65717E"/>
          <w:sz w:val="20"/>
        </w:rPr>
        <w:t>研究基准日：2026年7月26日｜正式申报前请再次核对最新政策与个税APP提示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一、结论先行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证书扣除不是“花多少扣多少”。</w:t>
      </w:r>
      <w:r>
        <w:rPr>
          <w:rFonts w:ascii="Arial Unicode MS" w:hAnsi="Arial Unicode MS" w:eastAsia="Arial Unicode MS"/>
          <w:color w:val="1F2D3D"/>
          <w:sz w:val="22"/>
        </w:rPr>
        <w:t>目录内职业资格在取得证书的年度，统一定额扣除 3,600 元；考试费、培训费高低不改变扣除额。同一年度取得多本目录内证书，也仍是 3,600 元。[2][4][5]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3,600元不是直接退税。</w:t>
      </w:r>
      <w:r>
        <w:rPr>
          <w:rFonts w:ascii="Arial Unicode MS" w:hAnsi="Arial Unicode MS" w:eastAsia="Arial Unicode MS"/>
          <w:color w:val="1F2D3D"/>
          <w:sz w:val="22"/>
        </w:rPr>
        <w:t>若不跨税率档，粗略节税额≈3,600×本人边际税率：税率3%约省108元，10%约省360元，20%约省720元，25%约省900元，30%约省1,080元，35%约省1,260元，45%约省1,620元；若本来就没有应纳税所得额，实际节税可能为0。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学历与证书可以叠加。</w:t>
      </w:r>
      <w:r>
        <w:rPr>
          <w:rFonts w:ascii="Arial Unicode MS" w:hAnsi="Arial Unicode MS" w:eastAsia="Arial Unicode MS"/>
          <w:color w:val="1F2D3D"/>
          <w:sz w:val="22"/>
        </w:rPr>
        <w:t>同年同时符合境内学历（学位）继续教育和职业资格继续教育条件，全年最多可形成4,800元+3,600元=8,400元继续教育扣除；但同一时点只能享受一个学历（学位）继续教育和一个职业资格继续教育。[4]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家庭分配会影响最终税额。</w:t>
      </w:r>
      <w:r>
        <w:rPr>
          <w:rFonts w:ascii="Arial Unicode MS" w:hAnsi="Arial Unicode MS" w:eastAsia="Arial Unicode MS"/>
          <w:color w:val="1F2D3D"/>
          <w:sz w:val="22"/>
        </w:rPr>
        <w:t>子女教育、婴幼儿照护、住房贷款利息、大病医疗等允许在夫妻或父母之间选择承担者；通常将可选扣除优先放在边际税率更高的一方更有利，但要用夫妻双方全年数据分别试算，并遵守年度内不得变更或不得重复的规则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  <w:shd w:fill="FFF8E5" w:val="clear"/>
          </w:tcPr>
          <w:p>
            <w:pPr>
              <w:spacing w:before="20" w:after="20" w:line="288" w:lineRule="auto"/>
            </w:pPr>
            <w:r>
              <w:rPr>
                <w:rFonts w:ascii="Arial Unicode MS" w:hAnsi="Arial Unicode MS" w:eastAsia="Arial Unicode MS"/>
                <w:b/>
                <w:color w:val="9B6A00"/>
                <w:sz w:val="21"/>
              </w:rPr>
              <w:t>特别提醒｜</w:t>
            </w:r>
            <w:r>
              <w:rPr>
                <w:rFonts w:ascii="Arial Unicode MS" w:hAnsi="Arial Unicode MS" w:eastAsia="Arial Unicode MS"/>
                <w:color w:val="1F2D3D"/>
                <w:sz w:val="21"/>
              </w:rPr>
              <w:t>不要为了省几百元税而专门购买高价课程或低价值证书。证书的职业收益应当是主目标，税收扣除只是附带收益。</w:t>
            </w:r>
          </w:p>
        </w:tc>
      </w:tr>
    </w:tbl>
    <w:p>
      <w:pPr>
        <w:pStyle w:val="Heading1"/>
        <w:keepNext/>
        <w:widowControl/>
      </w:pPr>
      <w:r>
        <w:t>二、证书抵扣规则：先过这五道门槛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门槛1｜目录</w:t>
      </w:r>
      <w:r>
        <w:rPr>
          <w:rFonts w:ascii="Arial Unicode MS" w:hAnsi="Arial Unicode MS" w:eastAsia="Arial Unicode MS"/>
          <w:color w:val="1F2D3D"/>
          <w:sz w:val="22"/>
        </w:rPr>
        <w:t xml:space="preserve">　证书对应的职业资格必须在申报年度适用的《国家职业资格目录》内。2026年税务机关公开答问仍按人社部门目录判断；本报告按当前公开的2021年版72项目录整理。[4][15][16]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门槛2｜证书</w:t>
      </w:r>
      <w:r>
        <w:rPr>
          <w:rFonts w:ascii="Arial Unicode MS" w:hAnsi="Arial Unicode MS" w:eastAsia="Arial Unicode MS"/>
          <w:color w:val="1F2D3D"/>
          <w:sz w:val="22"/>
        </w:rPr>
        <w:t xml:space="preserve">　须取得正式职业资格证书或实施部门认可的相关证书信息；仅有报名、培训、考试成绩、结业证、兴趣培训证明通常不够。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门槛3｜年度</w:t>
      </w:r>
      <w:r>
        <w:rPr>
          <w:rFonts w:ascii="Arial Unicode MS" w:hAnsi="Arial Unicode MS" w:eastAsia="Arial Unicode MS"/>
          <w:color w:val="1F2D3D"/>
          <w:sz w:val="22"/>
        </w:rPr>
        <w:t xml:space="preserve">　只能在证书载明的发证或批准日期所属年度扣除；不能把以前年度证书随意挪到今年。漏报应对原年度汇算进行补充或更正。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门槛4｜限额</w:t>
      </w:r>
      <w:r>
        <w:rPr>
          <w:rFonts w:ascii="Arial Unicode MS" w:hAnsi="Arial Unicode MS" w:eastAsia="Arial Unicode MS"/>
          <w:color w:val="1F2D3D"/>
          <w:sz w:val="22"/>
        </w:rPr>
        <w:t xml:space="preserve">　每个纳税年度职业资格继续教育统一定额3,600元，与实际花费和同年证书数量无关。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门槛5｜资料</w:t>
      </w:r>
      <w:r>
        <w:rPr>
          <w:rFonts w:ascii="Arial Unicode MS" w:hAnsi="Arial Unicode MS" w:eastAsia="Arial Unicode MS"/>
          <w:color w:val="1F2D3D"/>
          <w:sz w:val="22"/>
        </w:rPr>
        <w:t xml:space="preserve">　申报时填证书名称、编号、发证机关、发证/批准时间；证书等资料应留存备查，汇算资料一般自汇算期结束之日起留存5年。[1][4]</w:t>
      </w:r>
    </w:p>
    <w:p>
      <w:pPr>
        <w:pStyle w:val="Heading1"/>
        <w:keepNext/>
        <w:widowControl/>
      </w:pPr>
      <w:r>
        <w:t>三、专项复核：保安证与咖啡师证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color w:val="1F2D3D"/>
          <w:sz w:val="22"/>
        </w:rPr>
        <w:t>判断时不能只看证书俗称，而要同时核对目录名称、证书类型和发证机关。保安员属于目录内准入类职业资格；咖啡师目前通常属于目录外职业技能等级评价，两者的个税结果不同。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1050"/>
        <w:gridCol w:w="2780"/>
        <w:gridCol w:w="4330"/>
      </w:tblGrid>
      <w:tr>
        <w:trPr>
          <w:tblHeader w:val="true"/>
          <w:cantSplit/>
        </w:trPr>
        <w:tc>
          <w:tcPr>
            <w:tcW w:type="dxa" w:w="12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证书/常见叫法</w:t>
            </w:r>
          </w:p>
        </w:tc>
        <w:tc>
          <w:tcPr>
            <w:tcW w:type="dxa" w:w="10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结论</w:t>
            </w:r>
          </w:p>
        </w:tc>
        <w:tc>
          <w:tcPr>
            <w:tcW w:type="dxa" w:w="278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符合条件的证书类型</w:t>
            </w:r>
          </w:p>
        </w:tc>
        <w:tc>
          <w:tcPr>
            <w:tcW w:type="dxa" w:w="433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判断依据与提醒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保安证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E6B52"/>
                <w:sz w:val="16"/>
              </w:rPr>
              <w:t>原则上可以</w:t>
            </w:r>
          </w:p>
        </w:tc>
        <w:tc>
          <w:tcPr>
            <w:tcW w:type="dxa" w:w="2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《国家职业资格目录》“安全保护服务人员—保安员”对应的准入类证书；通常指考试合格后由设区市公安机关核发的保安员证。</w:t>
            </w:r>
          </w:p>
        </w:tc>
        <w:tc>
          <w:tcPr>
            <w:tcW w:type="dxa" w:w="43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保安员在现行72项目录内。应在证书载明的取证年度申报，按证书名称、编号、发证机关和日期如实填写；企业内部上岗证、培训结业证不行。[4][17][19]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咖啡师证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9B1C1C"/>
                <w:sz w:val="16"/>
              </w:rPr>
              <w:t>目前不可以</w:t>
            </w:r>
          </w:p>
        </w:tc>
        <w:tc>
          <w:tcPr>
            <w:tcW w:type="dxa" w:w="2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市面常见为职业技能等级证书、竞赛证书或行业/培训机构认证。</w:t>
            </w:r>
          </w:p>
        </w:tc>
        <w:tc>
          <w:tcPr>
            <w:tcW w:type="dxa" w:w="43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咖啡师虽有职业技能标准，也可能进入地方职业培训补助目录，但不在现行72项《国家职业资格目录》中；就业培训补助与个税3,600元扣除是两套制度。[4][15][16][18]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  <w:shd w:fill="F4F7FA" w:val="clear"/>
          </w:tcPr>
          <w:p>
            <w:pPr>
              <w:spacing w:before="20" w:after="20" w:line="288" w:lineRule="auto"/>
            </w:pPr>
            <w:r>
              <w:rPr>
                <w:rFonts w:ascii="Arial Unicode MS" w:hAnsi="Arial Unicode MS" w:eastAsia="Arial Unicode MS"/>
                <w:b/>
                <w:color w:val="1F4D78"/>
                <w:sz w:val="21"/>
              </w:rPr>
              <w:t>申报前复核｜</w:t>
            </w:r>
            <w:r>
              <w:rPr>
                <w:rFonts w:ascii="Arial Unicode MS" w:hAnsi="Arial Unicode MS" w:eastAsia="Arial Unicode MS"/>
                <w:color w:val="1F2D3D"/>
                <w:sz w:val="21"/>
              </w:rPr>
              <w:t>如果手中证书只写有培训合格、结业、上岗、职业技能等级或机构认证字样，不要仅凭“保安”“咖啡师”等职业名称申报。先在目录和发证机关渠道核对证书性质；仍不确定时向12366或主管税务机关确认。</w:t>
            </w:r>
          </w:p>
        </w:tc>
      </w:tr>
    </w:tbl>
    <w:p>
      <w:pPr>
        <w:pStyle w:val="Heading1"/>
        <w:keepNext/>
        <w:widowControl/>
      </w:pPr>
      <w:r>
        <w:t>四、表1：可以作为职业资格继续教育申报基础的72项资格</w:t>
      </w:r>
    </w:p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口径说明：表内资格按《国家职业资格目录（2021年版）》逐项整理。是否可申报仍以拿证年度有效目录、证书性质和税务系统校验为准。[4][15][16]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3700"/>
        <w:gridCol w:w="1250"/>
        <w:gridCol w:w="3560"/>
      </w:tblGrid>
      <w:tr>
        <w:trPr>
          <w:tblHeader w:val="true"/>
          <w:cantSplit/>
        </w:trPr>
        <w:tc>
          <w:tcPr>
            <w:tcW w:type="dxa" w:w="8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编号</w:t>
            </w:r>
          </w:p>
        </w:tc>
        <w:tc>
          <w:tcPr>
            <w:tcW w:type="dxa" w:w="37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职业资格名称</w:t>
            </w:r>
          </w:p>
        </w:tc>
        <w:tc>
          <w:tcPr>
            <w:tcW w:type="dxa" w:w="12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目录类别</w:t>
            </w:r>
          </w:p>
        </w:tc>
        <w:tc>
          <w:tcPr>
            <w:tcW w:type="dxa" w:w="356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具体分支/工种（如有）</w:t>
            </w:r>
          </w:p>
        </w:tc>
      </w:tr>
      <w:tr>
        <w:trPr>
          <w:cantSplit/>
        </w:trPr>
        <w:tc>
          <w:tcPr>
            <w:tcW w:type="dxa" w:w="3560"/>
            <w:gridSpan w:val="4"/>
            <w:shd w:fill="183A5A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FFFFFF"/>
                <w:sz w:val="19"/>
              </w:rPr>
              <w:t>A. 专业技术人员职业资格（59项：准入类33项、水平评价类26项）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教师资格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法律职业资格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中国委托公证人资格（香港、澳门）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注册会计师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注册城乡规划师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A6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注册测绘师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A7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核安全设备无损检验人员资格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民用核安全设备、军用核安全设备无损检验人员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A8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核设施操纵人员资格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民用核设施、军用核设施操纵人员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A9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注册核安全工程师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A10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注册建筑师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A11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监理工程师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A12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房地产估价师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A13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造价工程师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A14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建造师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一级、二级等以实施部门发证口径为准</w:t>
            </w:r>
          </w:p>
        </w:tc>
      </w:tr>
    </w:tbl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表1（续）｜专业技术人员职业资格 A15—A35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3700"/>
        <w:gridCol w:w="1250"/>
        <w:gridCol w:w="3560"/>
      </w:tblGrid>
      <w:tr>
        <w:trPr>
          <w:tblHeader w:val="true"/>
          <w:cantSplit/>
        </w:trPr>
        <w:tc>
          <w:tcPr>
            <w:tcW w:type="dxa" w:w="8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编号</w:t>
            </w:r>
          </w:p>
        </w:tc>
        <w:tc>
          <w:tcPr>
            <w:tcW w:type="dxa" w:w="37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职业资格名称</w:t>
            </w:r>
          </w:p>
        </w:tc>
        <w:tc>
          <w:tcPr>
            <w:tcW w:type="dxa" w:w="12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目录类别</w:t>
            </w:r>
          </w:p>
        </w:tc>
        <w:tc>
          <w:tcPr>
            <w:tcW w:type="dxa" w:w="356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具体分支/工种（如有）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A15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勘察设计注册工程师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注册结构、土木、化工、电气、公用设备、环保工程师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A16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注册验船师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A17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船员资格（含船员、渔业船员）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A18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执业兽医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A19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演出经纪人员资格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A20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导游资格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A21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医生资格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医师、乡村医生、人体器官移植医师、职业病诊断医师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A22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护士执业资格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A23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母婴保健技术服务人员资格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A24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注册安全工程师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A25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注册消防工程师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A26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注册计量师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A27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特种设备检验、检测人员资格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A28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广播电视播音员、主持人资格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A29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新闻记者职业资格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A30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航空人员资格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空勤、地面、外国驾驶员等、航空安全员、民航电信/情报/气象人员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A31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执业药师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A32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专利代理师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A33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拍卖师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A34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工程咨询（投资）专业技术人员职业资格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A35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通信专业技术人员职业资格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</w:tbl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表1（续）｜专业技术人员职业资格 A36—A50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3700"/>
        <w:gridCol w:w="1250"/>
        <w:gridCol w:w="3560"/>
      </w:tblGrid>
      <w:tr>
        <w:trPr>
          <w:tblHeader w:val="true"/>
          <w:cantSplit/>
        </w:trPr>
        <w:tc>
          <w:tcPr>
            <w:tcW w:type="dxa" w:w="8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编号</w:t>
            </w:r>
          </w:p>
        </w:tc>
        <w:tc>
          <w:tcPr>
            <w:tcW w:type="dxa" w:w="37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职业资格名称</w:t>
            </w:r>
          </w:p>
        </w:tc>
        <w:tc>
          <w:tcPr>
            <w:tcW w:type="dxa" w:w="12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目录类别</w:t>
            </w:r>
          </w:p>
        </w:tc>
        <w:tc>
          <w:tcPr>
            <w:tcW w:type="dxa" w:w="356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具体分支/工种（如有）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A36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计算机技术与软件专业技术资格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即通常所称“软考”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A37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社会工作者职业资格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A38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会计专业技术资格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初级、中级、高级会计专业技术资格按考试/评审口径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A39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资产评估师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A40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经济专业技术资格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初级、中级、高级经济专业技术资格按考试/评审口径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A41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不动产登记代理专业人员职业资格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A42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矿业权评估师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A43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环境影响评价工程师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A44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房地产经纪专业人员职业资格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A45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机动车检测维修专业技术人员职业资格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A46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公路水运工程试验检测专业技术人员职业资格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A47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水利工程质量检测员资格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A48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卫生专业技术资格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临床、预防、全科、药学、护理及其他卫生技术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A49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审计专业技术资格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A50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税务师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</w:tbl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表1（续）｜专业技术人员职业资格 A51—A59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3700"/>
        <w:gridCol w:w="1250"/>
        <w:gridCol w:w="3560"/>
      </w:tblGrid>
      <w:tr>
        <w:trPr>
          <w:tblHeader w:val="true"/>
          <w:cantSplit/>
        </w:trPr>
        <w:tc>
          <w:tcPr>
            <w:tcW w:type="dxa" w:w="8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编号</w:t>
            </w:r>
          </w:p>
        </w:tc>
        <w:tc>
          <w:tcPr>
            <w:tcW w:type="dxa" w:w="37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职业资格名称</w:t>
            </w:r>
          </w:p>
        </w:tc>
        <w:tc>
          <w:tcPr>
            <w:tcW w:type="dxa" w:w="12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目录类别</w:t>
            </w:r>
          </w:p>
        </w:tc>
        <w:tc>
          <w:tcPr>
            <w:tcW w:type="dxa" w:w="356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具体分支/工种（如有）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A51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认证人员职业资格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A52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设备监理师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A53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统计专业技术资格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A54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出版专业技术人员职业资格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A55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银行业专业人员职业资格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A56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精算师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A57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证券期货基金业从业人员资格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A58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文物保护工程从业资格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A59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翻译专业资格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CATTI 等由实施部门组织的目录内资格</w:t>
            </w:r>
          </w:p>
        </w:tc>
      </w:tr>
    </w:tbl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表1（续）｜技能人员职业资格 B1—B4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3700"/>
        <w:gridCol w:w="1250"/>
        <w:gridCol w:w="3560"/>
      </w:tblGrid>
      <w:tr>
        <w:trPr>
          <w:tblHeader w:val="true"/>
          <w:cantSplit/>
        </w:trPr>
        <w:tc>
          <w:tcPr>
            <w:tcW w:type="dxa" w:w="8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编号</w:t>
            </w:r>
          </w:p>
        </w:tc>
        <w:tc>
          <w:tcPr>
            <w:tcW w:type="dxa" w:w="37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职业资格名称</w:t>
            </w:r>
          </w:p>
        </w:tc>
        <w:tc>
          <w:tcPr>
            <w:tcW w:type="dxa" w:w="12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目录类别</w:t>
            </w:r>
          </w:p>
        </w:tc>
        <w:tc>
          <w:tcPr>
            <w:tcW w:type="dxa" w:w="356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具体分支/工种（如有）</w:t>
            </w:r>
          </w:p>
        </w:tc>
      </w:tr>
      <w:tr>
        <w:trPr>
          <w:cantSplit/>
        </w:trPr>
        <w:tc>
          <w:tcPr>
            <w:tcW w:type="dxa" w:w="3560"/>
            <w:gridSpan w:val="4"/>
            <w:shd w:fill="183A5A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FFFFFF"/>
                <w:sz w:val="19"/>
              </w:rPr>
              <w:t>B. 技能人员职业资格（13项）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B1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焊工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民用核安全设备焊工/焊接操作工、军用核安全设备焊接人员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B2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安全保护服务人员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混合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保安员（公安部门及相关机构，准入类）；民航安全检查员（水平评价类）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B3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消防和应急救援人员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水平评价类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消防员、森林消防员、应急救援员；具体属性按实施部门现行口径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B4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消防设施操作员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</w:tbl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表1（续）｜技能人员职业资格 B5—B13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3700"/>
        <w:gridCol w:w="1250"/>
        <w:gridCol w:w="3560"/>
      </w:tblGrid>
      <w:tr>
        <w:trPr>
          <w:tblHeader w:val="true"/>
          <w:cantSplit/>
        </w:trPr>
        <w:tc>
          <w:tcPr>
            <w:tcW w:type="dxa" w:w="8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编号</w:t>
            </w:r>
          </w:p>
        </w:tc>
        <w:tc>
          <w:tcPr>
            <w:tcW w:type="dxa" w:w="37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职业资格名称</w:t>
            </w:r>
          </w:p>
        </w:tc>
        <w:tc>
          <w:tcPr>
            <w:tcW w:type="dxa" w:w="12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目录类别</w:t>
            </w:r>
          </w:p>
        </w:tc>
        <w:tc>
          <w:tcPr>
            <w:tcW w:type="dxa" w:w="356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8"/>
              </w:rPr>
              <w:t>具体分支/工种（如有）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B5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健身和娱乐场所服务人员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游泳救生员；从事游泳、滑雪、潜水、攀岩等高危项目的社会体育指导员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B6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航空运输服务人员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混合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民航乘务员、机场运行指挥员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B7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轨道交通运输服务人员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轨道列车司机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B8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危险货物、化学品运输从业人员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危险货物道路运输、放射性物品道路运输、危险货物水路运输从业人员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B9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道路运输从业人员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经营性客运/货运驾驶员、出租汽车驾驶员；普通货运有目录备注限制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B10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特种作业人员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B11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建筑施工特种作业人员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B12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特种设备安全管理和作业人员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  <w:tr>
        <w:trPr>
          <w:cantSplit/>
        </w:trPr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B13</w:t>
            </w:r>
          </w:p>
        </w:tc>
        <w:tc>
          <w:tcPr>
            <w:tcW w:type="dxa" w:w="3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家畜繁殖员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准入类</w:t>
            </w:r>
          </w:p>
        </w:tc>
        <w:tc>
          <w:tcPr>
            <w:tcW w:type="dxa" w:w="3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7"/>
              </w:rPr>
              <w:t>—</w:t>
            </w:r>
          </w:p>
        </w:tc>
      </w:tr>
    </w:tbl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技能人员资格中部分项目在2021版目录备注了后续依法调整方向；实际报考、发证与申报时，请以相关实施部门当年的资格属性和证书查询结果为准。</w:t>
      </w:r>
    </w:p>
    <w:p>
      <w:pPr>
        <w:pStyle w:val="Heading1"/>
        <w:keepNext/>
        <w:widowControl/>
      </w:pPr>
      <w:r>
        <w:t>五、常见证书：哪些通常不能按3,600元申报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color w:val="1F2D3D"/>
          <w:sz w:val="22"/>
        </w:rPr>
        <w:t>通常不能仅凭证书名称申报：咖啡师职业技能等级证书、PMP/ACP、CFA、FRM、ACCA/CMA（境外体系）、AWS/Azure/阿里云/华为厂商认证、普通话水平测试等级证书、心理咨询师培训证、健康管理师/营养师等职业技能等级证书、企业内训证、培训结业证、兴趣班证书。原因是它们通常不是当前《国家职业资格目录》内的“职业资格”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color w:val="1F2D3D"/>
          <w:sz w:val="22"/>
        </w:rPr>
        <w:t>不要只看培训机构宣传。应核对三件事：目录中的资格名称是否一致、发证/实施部门是否一致、证书能否通过实施部门或国家职业资格证书查询渠道验证。名称相近但体系不同，税务结果可能完全不同。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  <w:shd w:fill="FFF1F1" w:val="clear"/>
          </w:tcPr>
          <w:p>
            <w:pPr>
              <w:spacing w:before="20" w:after="20" w:line="288" w:lineRule="auto"/>
            </w:pPr>
            <w:r>
              <w:rPr>
                <w:rFonts w:ascii="Arial Unicode MS" w:hAnsi="Arial Unicode MS" w:eastAsia="Arial Unicode MS"/>
                <w:b/>
                <w:color w:val="9B1C1C"/>
                <w:sz w:val="21"/>
              </w:rPr>
              <w:t>边界说明｜</w:t>
            </w:r>
            <w:r>
              <w:rPr>
                <w:rFonts w:ascii="Arial Unicode MS" w:hAnsi="Arial Unicode MS" w:eastAsia="Arial Unicode MS"/>
                <w:color w:val="1F2D3D"/>
                <w:sz w:val="21"/>
              </w:rPr>
              <w:t>职业技能等级证书与国家职业资格证书不是同一概念。目录改革后，很多技能评价改为职业技能等级认定；除非税务机关或人社部门有明确口径，不宜自行按3,600元申报。</w:t>
            </w:r>
          </w:p>
        </w:tc>
      </w:tr>
    </w:tbl>
    <w:p>
      <w:pPr>
        <w:pStyle w:val="Heading1"/>
        <w:keepNext/>
        <w:widowControl/>
      </w:pPr>
      <w:r>
        <w:t>六、表2：个人所得税合法抵扣与税负优化方法总表</w:t>
      </w:r>
    </w:p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阅读方法：前14项主要减少应纳税所得额；后3项属于计税方式或特定人群政策。实际少缴税额取决于税率档、是否跨档及预缴情况。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2500"/>
        <w:gridCol w:w="3150"/>
        <w:gridCol w:w="2110"/>
      </w:tblGrid>
      <w:tr>
        <w:trPr>
          <w:tblHeader w:val="true"/>
          <w:cantSplit/>
        </w:trPr>
        <w:tc>
          <w:tcPr>
            <w:tcW w:type="dxa" w:w="16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方法</w:t>
            </w:r>
          </w:p>
        </w:tc>
        <w:tc>
          <w:tcPr>
            <w:tcW w:type="dxa" w:w="25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扣除标准/税务作用</w:t>
            </w:r>
          </w:p>
        </w:tc>
        <w:tc>
          <w:tcPr>
            <w:tcW w:type="dxa" w:w="31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关键条件与限制</w:t>
            </w:r>
          </w:p>
        </w:tc>
        <w:tc>
          <w:tcPr>
            <w:tcW w:type="dxa" w:w="211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申报与材料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基本减除费用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居民个人综合所得每年减除 60,000 元。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属于应纳税所得额计算基础；不是额外返现。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通常由系统自动计算；年度汇算时核对。[1]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“三险一金”等专项扣除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符合规定的基本养老、基本医疗、失业保险和住房公积金个人缴费，据实扣除。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以当地缴费基数和比例上限为准；综合所得与经营所得不得重复扣。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核对工资条、社保及公积金缴费记录。[1]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3岁以下婴幼儿照护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每名婴幼儿 2,000 元/月；出生当月至满 3 周岁前一个月。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父母一方 100% 或双方各 50%；同一年度内方式不能变更。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个税APP填报监护人、婴幼儿身份信息及比例。[3]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子女教育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每名子女 2,000 元/月；满3岁学前教育及全日制学历教育期间。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父母一方 100% 或双方各 50%；境外教育留存录取通知书、签证等。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个税APP填报教育阶段和起止时间。[2][3]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学历（学位）继续教育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中国境内学历（学位）继续教育 400 元/月；同一学历最长 48 个月。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本人扣；本科及以下可选择本人或父母扣，但同一事项不能重复。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填报教育阶段和起止时间；保留学籍/考籍信息。[2][4]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职业资格证书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目录内技能人员或专业技术人员职业资格，拿证当年定额扣除 3,600 元。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同年多本仍只扣 3,600 元；目录内保安员证符合时可以，目录外咖啡师职业技能等级证书不行；与学历继续教育可叠加。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填证书名称、编号、发证机关、日期，证书留存5年。[4][5][17][18]</w:t>
            </w:r>
          </w:p>
        </w:tc>
      </w:tr>
    </w:tbl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表2（续）｜家庭、住房、医疗与养老相关扣除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2500"/>
        <w:gridCol w:w="3150"/>
        <w:gridCol w:w="2110"/>
      </w:tblGrid>
      <w:tr>
        <w:trPr>
          <w:tblHeader w:val="true"/>
          <w:cantSplit/>
        </w:trPr>
        <w:tc>
          <w:tcPr>
            <w:tcW w:type="dxa" w:w="16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方法</w:t>
            </w:r>
          </w:p>
        </w:tc>
        <w:tc>
          <w:tcPr>
            <w:tcW w:type="dxa" w:w="25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扣除标准/税务作用</w:t>
            </w:r>
          </w:p>
        </w:tc>
        <w:tc>
          <w:tcPr>
            <w:tcW w:type="dxa" w:w="31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关键条件与限制</w:t>
            </w:r>
          </w:p>
        </w:tc>
        <w:tc>
          <w:tcPr>
            <w:tcW w:type="dxa" w:w="211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申报与材料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大病医疗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医保目录内自付累计超过 15,000 元的部分，在 80,000 元限额内据实扣除。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仅年度汇算扣；本人可由本人/配偶扣，未成年子女由父母一方扣；家庭成员分别计算。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从医保信息查询数据，保留票据和报销记录。[2]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首套住房贷款利息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1,000 元/月；最长 240 个月；只能享受一次首套住房贷款利息扣除。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夫妻约定一方扣；婚前各有首套房贷的婚后有特别分配规则；与住房租金互斥。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保留贷款合同和还款凭证。[2]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住房租金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按城市分 1,500 / 1,100 / 800 元/月定额扣除。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主要工作城市无自有住房；同城夫妻只能一方扣；配偶在同城有房视同本人有房；与房贷利息互斥。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由租赁合同承租人填报，保留合同/协议。[2][6]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赡养老人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独生子女 3,000 元/月；非独生子女共同分摊 3,000 元/月，每人不超 1,500 元/月。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被赡养人为年满60岁父母，或子女均去世的年满60岁祖父母/外祖父母；老人数量不加倍。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指定/约定分摊需书面协议，指定优先；年度内方式和额度不变。[2][3]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企业年金/职业年金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个人缴费在不超过本人缴费工资计税基数 4% 的部分，暂从当期应纳税所得额扣除。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须为单位依法建立的年金计划；领取环节按现行政策计税，属于递延纳税。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由单位和年金管理环节办理并核对。[8]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税优商业健康保险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符合规定并带税优识别码的产品，最高 2,400 元/年（200 元/月）据实扣除。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普通商业医疗险不当然符合；多份产品合计仍受 2,400 元上限约束。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保留保单、发票及税优识别码，向单位或汇算申报。[7]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个人养老金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缴费环节每年最高 12,000 元据实扣除；账户投资收益暂不征税；领取时单独按3%计税。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属于递延纳税，资金长期锁定；应同时考虑流动性、投资风险和领取端税负。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开立个人养老金账户，取得缴费凭证后申报。[9]</w:t>
            </w:r>
          </w:p>
        </w:tc>
      </w:tr>
    </w:tbl>
    <w:p>
      <w:pPr>
        <w:keepNext/>
        <w:pageBreakBefore w:val="0"/>
        <w:widowControl/>
        <w:spacing w:before="80" w:after="80" w:line="264" w:lineRule="auto"/>
      </w:pPr>
      <w:r>
        <w:rPr>
          <w:rFonts w:ascii="Arial Unicode MS" w:hAnsi="Arial Unicode MS" w:eastAsia="Arial Unicode MS"/>
          <w:i/>
          <w:color w:val="65717E"/>
          <w:sz w:val="17"/>
        </w:rPr>
        <w:t>表2（续）｜捐赠、奖金、股权激励与外籍居民专项口径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2500"/>
        <w:gridCol w:w="3150"/>
        <w:gridCol w:w="2110"/>
      </w:tblGrid>
      <w:tr>
        <w:trPr>
          <w:tblHeader w:val="true"/>
          <w:cantSplit/>
        </w:trPr>
        <w:tc>
          <w:tcPr>
            <w:tcW w:type="dxa" w:w="16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方法</w:t>
            </w:r>
          </w:p>
        </w:tc>
        <w:tc>
          <w:tcPr>
            <w:tcW w:type="dxa" w:w="250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扣除标准/税务作用</w:t>
            </w:r>
          </w:p>
        </w:tc>
        <w:tc>
          <w:tcPr>
            <w:tcW w:type="dxa" w:w="315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关键条件与限制</w:t>
            </w:r>
          </w:p>
        </w:tc>
        <w:tc>
          <w:tcPr>
            <w:tcW w:type="dxa" w:w="2110"/>
            <w:shd w:fill="E8EEF5" w:val="clear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83A5A"/>
                <w:sz w:val="17"/>
              </w:rPr>
              <w:t>申报与材料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公益慈善捐赠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符合条件的捐赠，一般在应纳税所得额 30% 限额内扣除；国务院规定可全额扣除的除外。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必须通过符合资格的公益性社会组织或县级以上政府及其部门等；个人直接转账通常不满足。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取得合规公益事业捐赠票据并核实受赠方资格。[10]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全年一次性奖金计税选择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符合条件的奖金可选择单独计税，也可并入综合所得；政策执行至 2027-12-31。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这不是扣除项目。两种方式谁更省取决于全年收入、扣除和税率档；注意奖金“临界点”。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在申报/汇算时分别试算后选择较低税额方案。[11]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上市公司股权激励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符合条件的股票期权、股票增值权、限制性股票、股权奖励可不并入当年综合所得，单独计税；至2027-12-31。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一个年度内取得多次应合并计算；另有境内上市公司最长36个月分期缴税政策。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由上市公司备案并结合授予、行权/解禁资料核对。[12][13]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/>
                <w:color w:val="183A5A"/>
                <w:sz w:val="16"/>
              </w:rPr>
              <w:t>外籍居民津补贴选择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符合居民条件的外籍个人，可在专项附加扣除与符合条件的住房、语言训练、子女教育等免税津补贴间选择；至2027-12-31。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两套口径不得同时享受；一个纳税年度内选择后不得变更。</w:t>
            </w:r>
          </w:p>
        </w:tc>
        <w:tc>
          <w:tcPr>
            <w:tcW w:type="dxa" w:w="2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D3D"/>
                <w:sz w:val="16"/>
              </w:rPr>
              <w:t>按实际报销、凭证和雇佣安排测算后选择。[14]</w:t>
            </w:r>
          </w:p>
        </w:tc>
      </w:tr>
    </w:tbl>
    <w:p>
      <w:pPr>
        <w:pStyle w:val="Heading1"/>
        <w:keepNext/>
        <w:widowControl/>
      </w:pPr>
      <w:r>
        <w:t>七、家庭维度的最优分配思路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先算边际税率｜</w:t>
      </w:r>
      <w:r>
        <w:rPr>
          <w:rFonts w:ascii="Arial Unicode MS" w:hAnsi="Arial Unicode MS" w:eastAsia="Arial Unicode MS"/>
          <w:color w:val="1F2D3D"/>
          <w:sz w:val="22"/>
        </w:rPr>
        <w:t>把夫妻双方全年综合所得、三险一金、已有扣除分别录入试算。可选择的扣除一般优先给边际税率更高的一方，但如果扣除导致跨税率档，需要比较两套完整结果。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再分“一老一小”｜</w:t>
      </w:r>
      <w:r>
        <w:rPr>
          <w:rFonts w:ascii="Arial Unicode MS" w:hAnsi="Arial Unicode MS" w:eastAsia="Arial Unicode MS"/>
          <w:color w:val="1F2D3D"/>
          <w:sz w:val="22"/>
        </w:rPr>
        <w:t>婴幼儿照护和子女教育可一方100%或双方各50%；赡养老人若为非独生子女，可在总额及个人上限内通过约定/指定分摊。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处理住房互斥｜</w:t>
      </w:r>
      <w:r>
        <w:rPr>
          <w:rFonts w:ascii="Arial Unicode MS" w:hAnsi="Arial Unicode MS" w:eastAsia="Arial Unicode MS"/>
          <w:color w:val="1F2D3D"/>
          <w:sz w:val="22"/>
        </w:rPr>
        <w:t>夫妻双方不能在同一年度分别一人扣房贷、一人扣租金来规避互斥；同一工作城市租房时通常只能一方扣。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把大病医疗留到汇算｜</w:t>
      </w:r>
      <w:r>
        <w:rPr>
          <w:rFonts w:ascii="Arial Unicode MS" w:hAnsi="Arial Unicode MS" w:eastAsia="Arial Unicode MS"/>
          <w:color w:val="1F2D3D"/>
          <w:sz w:val="22"/>
        </w:rPr>
        <w:t>大病医疗只在年度汇算据实扣除。本人费用可在本人或配偶间选择；未成年子女由父母一方扣，通常也应放到税率更高的一方。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叠加个人项目｜</w:t>
      </w:r>
      <w:r>
        <w:rPr>
          <w:rFonts w:ascii="Arial Unicode MS" w:hAnsi="Arial Unicode MS" w:eastAsia="Arial Unicode MS"/>
          <w:color w:val="1F2D3D"/>
          <w:sz w:val="22"/>
        </w:rPr>
        <w:t>个人养老金、税优健康险、年金、证书和学历继续教育可在各自条件下并行，但不得在综合所得和经营所得中重复扣除。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AEB9C4"/>
              <w:start w:val="single" w:sz="4" w:color="AEB9C4"/>
              <w:bottom w:val="single" w:sz="4" w:color="AEB9C4"/>
              <w:end w:val="single" w:sz="4" w:color="AEB9C4"/>
              <w:insideH w:val="single" w:sz="4" w:color="AEB9C4"/>
              <w:insideV w:val="single" w:sz="4" w:color="AEB9C4"/>
            </w:tcBorders>
            <w:shd w:fill="F4F7FA" w:val="clear"/>
          </w:tcPr>
          <w:p>
            <w:pPr>
              <w:spacing w:before="20" w:after="20" w:line="288" w:lineRule="auto"/>
            </w:pPr>
            <w:r>
              <w:rPr>
                <w:rFonts w:ascii="Arial Unicode MS" w:hAnsi="Arial Unicode MS" w:eastAsia="Arial Unicode MS"/>
                <w:b/>
                <w:color w:val="1E6B52"/>
                <w:sz w:val="21"/>
              </w:rPr>
              <w:t>简单示例｜</w:t>
            </w:r>
            <w:r>
              <w:rPr>
                <w:rFonts w:ascii="Arial Unicode MS" w:hAnsi="Arial Unicode MS" w:eastAsia="Arial Unicode MS"/>
                <w:color w:val="1F2D3D"/>
                <w:sz w:val="21"/>
              </w:rPr>
              <w:t>若一方边际税率20%、另一方3%，把可自由选择的24,000元子女教育扣除全部放在前者名下，在不跨税率档的简化假设下，家庭税负差额约为24,000×(20%−3%)=4,080元。真实结果应以全年税率表试算。</w:t>
            </w:r>
          </w:p>
        </w:tc>
      </w:tr>
    </w:tbl>
    <w:p>
      <w:pPr>
        <w:pStyle w:val="Heading1"/>
        <w:keepNext/>
        <w:widowControl/>
      </w:pPr>
      <w:r>
        <w:t>八、年度执行清单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1月：确认家庭分配｜</w:t>
      </w:r>
      <w:r>
        <w:rPr>
          <w:rFonts w:ascii="Arial Unicode MS" w:hAnsi="Arial Unicode MS" w:eastAsia="Arial Unicode MS"/>
          <w:color w:val="1F2D3D"/>
          <w:sz w:val="22"/>
        </w:rPr>
        <w:t>确认当年子女教育、婴幼儿照护、赡养老人、房贷/租房扣除人及比例；需要协议的及时签署并留存。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每月：核对预扣数据｜</w:t>
      </w:r>
      <w:r>
        <w:rPr>
          <w:rFonts w:ascii="Arial Unicode MS" w:hAnsi="Arial Unicode MS" w:eastAsia="Arial Unicode MS"/>
          <w:color w:val="1F2D3D"/>
          <w:sz w:val="22"/>
        </w:rPr>
        <w:t>检查收入、三险一金、专项附加扣除是否累计正确；工作、婚姻、住房、教育状态变化时及时更新。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拿证后：当年填报｜</w:t>
      </w:r>
      <w:r>
        <w:rPr>
          <w:rFonts w:ascii="Arial Unicode MS" w:hAnsi="Arial Unicode MS" w:eastAsia="Arial Unicode MS"/>
          <w:color w:val="1F2D3D"/>
          <w:sz w:val="22"/>
        </w:rPr>
        <w:t>核对目录、证书名称/编号/发证机关/日期，保留电子和纸质证书；不要等到多年后挪年度。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年末：准备其他扣除｜</w:t>
      </w:r>
      <w:r>
        <w:rPr>
          <w:rFonts w:ascii="Arial Unicode MS" w:hAnsi="Arial Unicode MS" w:eastAsia="Arial Unicode MS"/>
          <w:color w:val="1F2D3D"/>
          <w:sz w:val="22"/>
        </w:rPr>
        <w:t>整理个人养老金缴费凭证、税优健康险保单与识别码、年金数据、公益捐赠票据、大病医疗医保数据。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次年3月1日至6月30日：办理汇算｜</w:t>
      </w:r>
      <w:r>
        <w:rPr>
          <w:rFonts w:ascii="Arial Unicode MS" w:hAnsi="Arial Unicode MS" w:eastAsia="Arial Unicode MS"/>
          <w:color w:val="1F2D3D"/>
          <w:sz w:val="22"/>
        </w:rPr>
        <w:t>在个税APP或自然人电子税务局核对全年收入、奖金计税方式及所有扣除；需要时补填、更正或申请退税。[1]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b/>
          <w:color w:val="1F2D3D"/>
          <w:sz w:val="22"/>
        </w:rPr>
        <w:t>汇算后：资料留存5年｜</w:t>
      </w:r>
      <w:r>
        <w:rPr>
          <w:rFonts w:ascii="Arial Unicode MS" w:hAnsi="Arial Unicode MS" w:eastAsia="Arial Unicode MS"/>
          <w:color w:val="1F2D3D"/>
          <w:sz w:val="22"/>
        </w:rPr>
        <w:t>保存合同、协议、证书、票据、保单、缴费凭证和试算底稿；对填报信息的真实性、准确性、完整性负责。[1][2]</w:t>
      </w:r>
    </w:p>
    <w:p>
      <w:pPr>
        <w:pStyle w:val="Heading1"/>
        <w:keepNext/>
        <w:widowControl/>
      </w:pPr>
      <w:r>
        <w:t>九、官方来源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color w:val="65717E"/>
          <w:sz w:val="22"/>
        </w:rPr>
        <w:t>以下均为政府或税务机关公开来源。点击蓝色标题可打开原文；法规、目录和系统口径可能更新，实际申报前建议再次核对。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[1] </w:t>
      </w:r>
      <w:hyperlink r:id="rId11">
        <w:r>
          <w:rPr>
            <w:rFonts w:ascii="Arial Unicode MS" w:hAnsi="Arial Unicode MS" w:eastAsia="Arial Unicode MS"/>
            <w:color w:val="2E74B5"/>
            <w:u w:val="single"/>
          </w:rPr>
          <w:t>国家税务总局令第57号《个人所得税综合所得汇算清缴管理办法》</w:t>
        </w:r>
      </w:hyperlink>
      <w:r>
        <w:rPr>
          <w:rFonts w:ascii="Arial Unicode MS" w:hAnsi="Arial Unicode MS" w:eastAsia="Arial Unicode MS"/>
          <w:color w:val="1F2D3D"/>
          <w:sz w:val="19"/>
        </w:rPr>
        <w:t>。2025-02-26；全文有效。明确汇算公式、可补充扣除项目、办理期和留存义务。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[2] </w:t>
      </w:r>
      <w:hyperlink r:id="rId12">
        <w:r>
          <w:rPr>
            <w:rFonts w:ascii="Arial Unicode MS" w:hAnsi="Arial Unicode MS" w:eastAsia="Arial Unicode MS"/>
            <w:color w:val="2E74B5"/>
            <w:u w:val="single"/>
          </w:rPr>
          <w:t>国务院《个人所得税专项附加扣除暂行办法》（国发〔2018〕41号）</w:t>
        </w:r>
      </w:hyperlink>
      <w:r>
        <w:rPr>
          <w:rFonts w:ascii="Arial Unicode MS" w:hAnsi="Arial Unicode MS" w:eastAsia="Arial Unicode MS"/>
          <w:color w:val="1F2D3D"/>
          <w:sz w:val="19"/>
        </w:rPr>
        <w:t>。全文有效。规定继续教育、大病医疗、住房贷款、住房租金、赡养老人等基础条件。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[3] </w:t>
      </w:r>
      <w:hyperlink r:id="rId13">
        <w:r>
          <w:rPr>
            <w:rFonts w:ascii="Arial Unicode MS" w:hAnsi="Arial Unicode MS" w:eastAsia="Arial Unicode MS"/>
            <w:color w:val="2E74B5"/>
            <w:u w:val="single"/>
          </w:rPr>
          <w:t>国家税务总局公告2023年第14号：提高“一老一小”专项附加扣除标准</w:t>
        </w:r>
      </w:hyperlink>
      <w:r>
        <w:rPr>
          <w:rFonts w:ascii="Arial Unicode MS" w:hAnsi="Arial Unicode MS" w:eastAsia="Arial Unicode MS"/>
          <w:color w:val="1F2D3D"/>
          <w:sz w:val="19"/>
        </w:rPr>
        <w:t>。自2023-01-01起：婴幼儿照护/子女教育每人每月2,000元，赡养老人每月3,000元。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[4] </w:t>
      </w:r>
      <w:hyperlink r:id="rId14">
        <w:r>
          <w:rPr>
            <w:rFonts w:ascii="Arial Unicode MS" w:hAnsi="Arial Unicode MS" w:eastAsia="Arial Unicode MS"/>
            <w:color w:val="2E74B5"/>
            <w:u w:val="single"/>
          </w:rPr>
          <w:t>国家税务总局上海市税务局《继续教育专项附加扣除热点问答》</w:t>
        </w:r>
      </w:hyperlink>
      <w:r>
        <w:rPr>
          <w:rFonts w:ascii="Arial Unicode MS" w:hAnsi="Arial Unicode MS" w:eastAsia="Arial Unicode MS"/>
          <w:color w:val="1F2D3D"/>
          <w:sz w:val="19"/>
        </w:rPr>
        <w:t>。2026-02-26。明确目录口径、3600元、学历与职业资格可叠加至8,400元。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[5] </w:t>
      </w:r>
      <w:hyperlink r:id="rId15">
        <w:r>
          <w:rPr>
            <w:rFonts w:ascii="Arial Unicode MS" w:hAnsi="Arial Unicode MS" w:eastAsia="Arial Unicode MS"/>
            <w:color w:val="2E74B5"/>
            <w:u w:val="single"/>
          </w:rPr>
          <w:t>国家税务总局辽宁省税务局：培训结业证与职业资格扣除问答</w:t>
        </w:r>
      </w:hyperlink>
      <w:r>
        <w:rPr>
          <w:rFonts w:ascii="Arial Unicode MS" w:hAnsi="Arial Unicode MS" w:eastAsia="Arial Unicode MS"/>
          <w:color w:val="1F2D3D"/>
          <w:sz w:val="19"/>
        </w:rPr>
        <w:t>。2025-04-30。明确目录内、拿证当年、与证书数量无关。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[6] </w:t>
      </w:r>
      <w:hyperlink r:id="rId16">
        <w:r>
          <w:rPr>
            <w:rFonts w:ascii="Arial Unicode MS" w:hAnsi="Arial Unicode MS" w:eastAsia="Arial Unicode MS"/>
            <w:color w:val="2E74B5"/>
            <w:u w:val="single"/>
          </w:rPr>
          <w:t>国家税务总局上海市税务局《住房租金专项附加扣除热点问答》</w:t>
        </w:r>
      </w:hyperlink>
      <w:r>
        <w:rPr>
          <w:rFonts w:ascii="Arial Unicode MS" w:hAnsi="Arial Unicode MS" w:eastAsia="Arial Unicode MS"/>
          <w:color w:val="1F2D3D"/>
          <w:sz w:val="19"/>
        </w:rPr>
        <w:t>。2026-03-10。明确1,500/1,100/800元三档标准及互斥规则。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[7] </w:t>
      </w:r>
      <w:hyperlink r:id="rId17">
        <w:r>
          <w:rPr>
            <w:rFonts w:ascii="Arial Unicode MS" w:hAnsi="Arial Unicode MS" w:eastAsia="Arial Unicode MS"/>
            <w:color w:val="2E74B5"/>
            <w:u w:val="single"/>
          </w:rPr>
          <w:t>财税〔2017〕39号：商业健康保险个人所得税政策</w:t>
        </w:r>
      </w:hyperlink>
      <w:r>
        <w:rPr>
          <w:rFonts w:ascii="Arial Unicode MS" w:hAnsi="Arial Unicode MS" w:eastAsia="Arial Unicode MS"/>
          <w:color w:val="1F2D3D"/>
          <w:sz w:val="19"/>
        </w:rPr>
        <w:t>。全文有效。符合规定产品最高2,400元/年。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[8] </w:t>
      </w:r>
      <w:hyperlink r:id="rId18">
        <w:r>
          <w:rPr>
            <w:rFonts w:ascii="Arial Unicode MS" w:hAnsi="Arial Unicode MS" w:eastAsia="Arial Unicode MS"/>
            <w:color w:val="2E74B5"/>
            <w:u w:val="single"/>
          </w:rPr>
          <w:t>企业年金、职业年金个人所得税递延政策官方答问</w:t>
        </w:r>
      </w:hyperlink>
      <w:r>
        <w:rPr>
          <w:rFonts w:ascii="Arial Unicode MS" w:hAnsi="Arial Unicode MS" w:eastAsia="Arial Unicode MS"/>
          <w:color w:val="1F2D3D"/>
          <w:sz w:val="19"/>
        </w:rPr>
        <w:t>。个人缴费不超过缴费工资计税基数4%的部分可暂从当期应纳税所得额扣除。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[9] </w:t>
      </w:r>
      <w:hyperlink r:id="rId19">
        <w:r>
          <w:rPr>
            <w:rFonts w:ascii="Arial Unicode MS" w:hAnsi="Arial Unicode MS" w:eastAsia="Arial Unicode MS"/>
            <w:color w:val="2E74B5"/>
            <w:u w:val="single"/>
          </w:rPr>
          <w:t>财政部 税务总局公告2024年第21号：个人养老金个税优惠</w:t>
        </w:r>
      </w:hyperlink>
      <w:r>
        <w:rPr>
          <w:rFonts w:ascii="Arial Unicode MS" w:hAnsi="Arial Unicode MS" w:eastAsia="Arial Unicode MS"/>
          <w:color w:val="1F2D3D"/>
          <w:sz w:val="19"/>
        </w:rPr>
        <w:t>。全国实施；缴费环节12,000元/年限额内据实扣除，领取时单独按3%计税。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[10] </w:t>
      </w:r>
      <w:hyperlink r:id="rId20">
        <w:r>
          <w:rPr>
            <w:rFonts w:ascii="Arial Unicode MS" w:hAnsi="Arial Unicode MS" w:eastAsia="Arial Unicode MS"/>
            <w:color w:val="2E74B5"/>
            <w:u w:val="single"/>
          </w:rPr>
          <w:t>国家税务总局：公益慈善事业捐赠个人所得税税前扣除</w:t>
        </w:r>
      </w:hyperlink>
      <w:r>
        <w:rPr>
          <w:rFonts w:ascii="Arial Unicode MS" w:hAnsi="Arial Unicode MS" w:eastAsia="Arial Unicode MS"/>
          <w:color w:val="1F2D3D"/>
          <w:sz w:val="19"/>
        </w:rPr>
        <w:t>。一般为应纳税所得额30%限额；全额扣除情形从特别规定。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[11] </w:t>
      </w:r>
      <w:hyperlink r:id="rId21">
        <w:r>
          <w:rPr>
            <w:rFonts w:ascii="Arial Unicode MS" w:hAnsi="Arial Unicode MS" w:eastAsia="Arial Unicode MS"/>
            <w:color w:val="2E74B5"/>
            <w:u w:val="single"/>
          </w:rPr>
          <w:t>财政部 税务总局公告2023年第30号：全年一次性奖金政策</w:t>
        </w:r>
      </w:hyperlink>
      <w:r>
        <w:rPr>
          <w:rFonts w:ascii="Arial Unicode MS" w:hAnsi="Arial Unicode MS" w:eastAsia="Arial Unicode MS"/>
          <w:color w:val="1F2D3D"/>
          <w:sz w:val="19"/>
        </w:rPr>
        <w:t>。单独计税或并入综合所得二选一，执行至2027-12-31。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[12] </w:t>
      </w:r>
      <w:hyperlink r:id="rId22">
        <w:r>
          <w:rPr>
            <w:rFonts w:ascii="Arial Unicode MS" w:hAnsi="Arial Unicode MS" w:eastAsia="Arial Unicode MS"/>
            <w:color w:val="2E74B5"/>
            <w:u w:val="single"/>
          </w:rPr>
          <w:t>财政部 税务总局公告2023年第25号：上市公司股权激励单独计税</w:t>
        </w:r>
      </w:hyperlink>
      <w:r>
        <w:rPr>
          <w:rFonts w:ascii="Arial Unicode MS" w:hAnsi="Arial Unicode MS" w:eastAsia="Arial Unicode MS"/>
          <w:color w:val="1F2D3D"/>
          <w:sz w:val="19"/>
        </w:rPr>
        <w:t>。符合条件的股权激励单独计税，执行至2027-12-31。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[13] </w:t>
      </w:r>
      <w:hyperlink r:id="rId23">
        <w:r>
          <w:rPr>
            <w:rFonts w:ascii="Arial Unicode MS" w:hAnsi="Arial Unicode MS" w:eastAsia="Arial Unicode MS"/>
            <w:color w:val="2E74B5"/>
            <w:u w:val="single"/>
          </w:rPr>
          <w:t>财政部 税务总局公告2024年第2号：境内上市公司股权激励分期缴税</w:t>
        </w:r>
      </w:hyperlink>
      <w:r>
        <w:rPr>
          <w:rFonts w:ascii="Arial Unicode MS" w:hAnsi="Arial Unicode MS" w:eastAsia="Arial Unicode MS"/>
          <w:color w:val="1F2D3D"/>
          <w:sz w:val="19"/>
        </w:rPr>
        <w:t>。符合条件可在不超过36个月内缴税，执行至2027-12-31。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[14] </w:t>
      </w:r>
      <w:hyperlink r:id="rId24">
        <w:r>
          <w:rPr>
            <w:rFonts w:ascii="Arial Unicode MS" w:hAnsi="Arial Unicode MS" w:eastAsia="Arial Unicode MS"/>
            <w:color w:val="2E74B5"/>
            <w:u w:val="single"/>
          </w:rPr>
          <w:t>财政部 税务总局公告2023年第29号：外籍个人有关津补贴政策</w:t>
        </w:r>
      </w:hyperlink>
      <w:r>
        <w:rPr>
          <w:rFonts w:ascii="Arial Unicode MS" w:hAnsi="Arial Unicode MS" w:eastAsia="Arial Unicode MS"/>
          <w:color w:val="1F2D3D"/>
          <w:sz w:val="19"/>
        </w:rPr>
        <w:t>。专项附加扣除与免税津补贴择一，执行至2027-12-31。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[15] </w:t>
      </w:r>
      <w:hyperlink r:id="rId25">
        <w:r>
          <w:rPr>
            <w:rFonts w:ascii="Arial Unicode MS" w:hAnsi="Arial Unicode MS" w:eastAsia="Arial Unicode MS"/>
            <w:color w:val="2E74B5"/>
            <w:u w:val="single"/>
          </w:rPr>
          <w:t>人社部公布《国家职业资格目录（2021年版）》</w:t>
        </w:r>
      </w:hyperlink>
      <w:r>
        <w:rPr>
          <w:rFonts w:ascii="Arial Unicode MS" w:hAnsi="Arial Unicode MS" w:eastAsia="Arial Unicode MS"/>
          <w:color w:val="1F2D3D"/>
          <w:sz w:val="19"/>
        </w:rPr>
        <w:t>。共72项：专业技术人员59项、技能人员13项。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[16] </w:t>
      </w:r>
      <w:hyperlink r:id="rId26">
        <w:r>
          <w:rPr>
            <w:rFonts w:ascii="Arial Unicode MS" w:hAnsi="Arial Unicode MS" w:eastAsia="Arial Unicode MS"/>
            <w:color w:val="2E74B5"/>
            <w:u w:val="single"/>
          </w:rPr>
          <w:t>《国家职业资格目录（2021年版）》官方PDF</w:t>
        </w:r>
      </w:hyperlink>
      <w:r>
        <w:rPr>
          <w:rFonts w:ascii="Arial Unicode MS" w:hAnsi="Arial Unicode MS" w:eastAsia="Arial Unicode MS"/>
          <w:color w:val="1F2D3D"/>
          <w:sz w:val="19"/>
        </w:rPr>
        <w:t>。本报告表1的逐项名称、类别和分支依据。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[17] </w:t>
      </w:r>
      <w:hyperlink r:id="rId27">
        <w:r>
          <w:rPr>
            <w:rFonts w:ascii="Arial Unicode MS" w:hAnsi="Arial Unicode MS" w:eastAsia="Arial Unicode MS"/>
            <w:color w:val="2E74B5"/>
            <w:u w:val="single"/>
          </w:rPr>
          <w:t>人社部国家职业资格目录清单系统</w:t>
        </w:r>
      </w:hyperlink>
      <w:r>
        <w:rPr>
          <w:rFonts w:ascii="Arial Unicode MS" w:hAnsi="Arial Unicode MS" w:eastAsia="Arial Unicode MS"/>
          <w:color w:val="1F2D3D"/>
          <w:sz w:val="19"/>
        </w:rPr>
        <w:t>。当前在线清单显示“安全保护服务人员—保安员”为准入类，实施部门为公安部门及相关机构。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[18] </w:t>
      </w:r>
      <w:hyperlink r:id="rId28">
        <w:r>
          <w:rPr>
            <w:rFonts w:ascii="Arial Unicode MS" w:hAnsi="Arial Unicode MS" w:eastAsia="Arial Unicode MS"/>
            <w:color w:val="2E74B5"/>
            <w:u w:val="single"/>
          </w:rPr>
          <w:t>北京市人社局《重点群体就业技能提升补助标准目录（2026年版）》</w:t>
        </w:r>
      </w:hyperlink>
      <w:r>
        <w:rPr>
          <w:rFonts w:ascii="Arial Unicode MS" w:hAnsi="Arial Unicode MS" w:eastAsia="Arial Unicode MS"/>
          <w:color w:val="1F2D3D"/>
          <w:sz w:val="19"/>
        </w:rPr>
        <w:t>。将咖啡师列在“职业技能等级证书”补助目录中；该类就业培训补助口径不等同于个税职业资格继续教育扣除。</w:t>
      </w:r>
    </w:p>
    <w:p>
      <w:pPr>
        <w:widowControl/>
        <w:spacing w:before="0" w:after="100" w:line="276" w:lineRule="auto"/>
      </w:pPr>
      <w:r>
        <w:rPr>
          <w:rFonts w:ascii="Arial Unicode MS" w:hAnsi="Arial Unicode MS" w:eastAsia="Arial Unicode MS"/>
          <w:b/>
          <w:color w:val="183A5A"/>
          <w:sz w:val="19"/>
        </w:rPr>
        <w:t xml:space="preserve">[19] </w:t>
      </w:r>
      <w:hyperlink r:id="rId29">
        <w:r>
          <w:rPr>
            <w:rFonts w:ascii="Arial Unicode MS" w:hAnsi="Arial Unicode MS" w:eastAsia="Arial Unicode MS"/>
            <w:color w:val="2E74B5"/>
            <w:u w:val="single"/>
          </w:rPr>
          <w:t>公安部《公安机关实施保安服务管理条例办法》</w:t>
        </w:r>
      </w:hyperlink>
      <w:r>
        <w:rPr>
          <w:rFonts w:ascii="Arial Unicode MS" w:hAnsi="Arial Unicode MS" w:eastAsia="Arial Unicode MS"/>
          <w:color w:val="1F2D3D"/>
          <w:sz w:val="19"/>
        </w:rPr>
        <w:t>。申请人考试合格后，由设区市公安机关核发保安员证。</w:t>
      </w:r>
    </w:p>
    <w:p>
      <w:pPr>
        <w:pStyle w:val="Heading1"/>
        <w:keepNext/>
        <w:widowControl/>
      </w:pPr>
      <w:r>
        <w:t>十、使用声明</w:t>
      </w:r>
    </w:p>
    <w:p>
      <w:pPr>
        <w:keepNext w:val="0"/>
        <w:widowControl/>
        <w:spacing w:before="0" w:after="120" w:line="300" w:lineRule="auto"/>
      </w:pPr>
      <w:r>
        <w:rPr>
          <w:rFonts w:ascii="Arial Unicode MS" w:hAnsi="Arial Unicode MS" w:eastAsia="Arial Unicode MS"/>
          <w:color w:val="65717E"/>
          <w:sz w:val="22"/>
        </w:rPr>
        <w:t>本报告是基于截至2026年7月26日可查询官方公开资料形成的通用信息，不替代主管税务机关针对个案的认定，也不构成税务代理意见。地区执行、证书属性、家庭关系、收入构成或政策有效期存在特殊情况时，请通过12366、主管税务机关或有资质的涉税专业服务机构确认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tblLayout w:type="fixed"/>
      <w:tblLook w:firstColumn="1" w:firstRow="1" w:lastColumn="0" w:lastRow="0" w:noHBand="0" w:noVBand="1" w:val="04A0"/>
      <w:tblInd w:w="120" w:type="dxa"/>
    </w:tblPr>
    <w:tblGrid>
      <w:gridCol w:w="7200"/>
      <w:gridCol w:w="2160"/>
    </w:tblGrid>
    <w:tr>
      <w:tc>
        <w:tcPr>
          <w:tcW w:type="dxa" w:w="7200"/>
          <w:tcMar>
            <w:top w:w="80" w:type="dxa"/>
            <w:start w:w="120" w:type="dxa"/>
            <w:bottom w:w="80" w:type="dxa"/>
            <w:end w:w="120" w:type="dxa"/>
          </w:tcMar>
          <w:tcBorders>
            <w:top w:val="single" w:sz="4" w:color="AEB9C4"/>
            <w:start w:val="single" w:sz="4" w:color="AEB9C4"/>
            <w:bottom w:val="single" w:sz="4" w:color="AEB9C4"/>
            <w:end w:val="single" w:sz="4" w:color="AEB9C4"/>
            <w:insideH w:val="single" w:sz="4" w:color="AEB9C4"/>
            <w:insideV w:val="single" w:sz="4" w:color="AEB9C4"/>
          </w:tcBorders>
          <w:tcBorders>
            <w:top w:val="nil"/>
            <w:start w:val="nil"/>
            <w:bottom w:val="nil"/>
            <w:end w:val="nil"/>
            <w:insideH w:val="nil"/>
            <w:insideV w:val="nil"/>
          </w:tcBorders>
        </w:tcPr>
        <w:p>
          <w:pPr>
            <w:spacing w:before="0" w:after="0" w:line="240" w:lineRule="auto"/>
          </w:pPr>
          <w:r>
            <w:rPr>
              <w:rFonts w:ascii="Arial Unicode MS" w:hAnsi="Arial Unicode MS" w:eastAsia="Arial Unicode MS"/>
              <w:color w:val="65717E"/>
              <w:sz w:val="17"/>
            </w:rPr>
            <w:t>截至 2026-07-26 · 中国大陆居民个人综合所得口径</w:t>
          </w:r>
        </w:p>
      </w:tc>
      <w:tc>
        <w:tcPr>
          <w:tcW w:type="dxa" w:w="2160"/>
          <w:tcMar>
            <w:top w:w="80" w:type="dxa"/>
            <w:start w:w="120" w:type="dxa"/>
            <w:bottom w:w="80" w:type="dxa"/>
            <w:end w:w="120" w:type="dxa"/>
          </w:tcMar>
          <w:tcBorders>
            <w:top w:val="single" w:sz="4" w:color="AEB9C4"/>
            <w:start w:val="single" w:sz="4" w:color="AEB9C4"/>
            <w:bottom w:val="single" w:sz="4" w:color="AEB9C4"/>
            <w:end w:val="single" w:sz="4" w:color="AEB9C4"/>
            <w:insideH w:val="single" w:sz="4" w:color="AEB9C4"/>
            <w:insideV w:val="single" w:sz="4" w:color="AEB9C4"/>
          </w:tcBorders>
          <w:tcBorders>
            <w:top w:val="nil"/>
            <w:start w:val="nil"/>
            <w:bottom w:val="nil"/>
            <w:end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Arial Unicode MS" w:hAnsi="Arial Unicode MS" w:eastAsia="Arial Unicode MS"/>
              <w:color w:val="65717E"/>
              <w:sz w:val="18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>
      <w:rPr>
        <w:rFonts w:ascii="Arial Unicode MS" w:hAnsi="Arial Unicode MS" w:eastAsia="Arial Unicode MS"/>
        <w:color w:val="65717E"/>
        <w:sz w:val="17"/>
      </w:rPr>
      <w:t>个人所得税合法扣除与优化指南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 Unicode MS" w:hAnsi="Arial Unicode MS" w:eastAsia="Arial Unicode MS"/>
      <w:color w:val="1F2D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gk.chinatax.gov.cn/zcfgk/c100011/c5238560/content.html" TargetMode="External"/><Relationship Id="rId12" Type="http://schemas.openxmlformats.org/officeDocument/2006/relationships/hyperlink" Target="https://fgk.chinatax.gov.cn/zcfgk/c102440/c5209858/content.html" TargetMode="External"/><Relationship Id="rId13" Type="http://schemas.openxmlformats.org/officeDocument/2006/relationships/hyperlink" Target="https://fgk.chinatax.gov.cn/zcfgk/c100012/c5213592/content.html" TargetMode="External"/><Relationship Id="rId14" Type="http://schemas.openxmlformats.org/officeDocument/2006/relationships/hyperlink" Target="https://shanghai.chinatax.gov.cn/zcfw/rdwd/202602/t479530.html" TargetMode="External"/><Relationship Id="rId15" Type="http://schemas.openxmlformats.org/officeDocument/2006/relationships/hyperlink" Target="https://liaoning.chinatax.gov.cn/art/2025/4/30/art_99_146336.html" TargetMode="External"/><Relationship Id="rId16" Type="http://schemas.openxmlformats.org/officeDocument/2006/relationships/hyperlink" Target="https://shanghai.chinatax.gov.cn/tax/zcfw/rdwd/202603/t479656.html" TargetMode="External"/><Relationship Id="rId17" Type="http://schemas.openxmlformats.org/officeDocument/2006/relationships/hyperlink" Target="https://shanghai.chinatax.gov.cn/zcfw/zcfgk/grsds/201705/t432115.html" TargetMode="External"/><Relationship Id="rId18" Type="http://schemas.openxmlformats.org/officeDocument/2006/relationships/hyperlink" Target="https://www.chinatax.gov.cn/chinatax/n810341/n810760/c1151956/content.html" TargetMode="External"/><Relationship Id="rId19" Type="http://schemas.openxmlformats.org/officeDocument/2006/relationships/hyperlink" Target="https://fgk.chinatax.gov.cn/zcfgk/c102416/c5237110/content.html" TargetMode="External"/><Relationship Id="rId20" Type="http://schemas.openxmlformats.org/officeDocument/2006/relationships/hyperlink" Target="https://www.chinatax.gov.cn/chinatax/c102152/c5178885/content.html" TargetMode="External"/><Relationship Id="rId21" Type="http://schemas.openxmlformats.org/officeDocument/2006/relationships/hyperlink" Target="https://www.mof.gov.cn/jrttts/202308/t20230828_3904461.htm" TargetMode="External"/><Relationship Id="rId22" Type="http://schemas.openxmlformats.org/officeDocument/2006/relationships/hyperlink" Target="https://xj.mof.gov.cn/zcfagui/202311/t20231108_3915465.htm" TargetMode="External"/><Relationship Id="rId23" Type="http://schemas.openxmlformats.org/officeDocument/2006/relationships/hyperlink" Target="https://sh.mof.gov.cn/tongzhitonggao/202405/t20240515_3934859.htm" TargetMode="External"/><Relationship Id="rId24" Type="http://schemas.openxmlformats.org/officeDocument/2006/relationships/hyperlink" Target="https://zhejiang.chinatax.gov.cn/art/2025/4/8/art_26315_632243.html" TargetMode="External"/><Relationship Id="rId25" Type="http://schemas.openxmlformats.org/officeDocument/2006/relationships/hyperlink" Target="https://chinajob.mohrss.gov.cn/c/2021-12-03/333838.shtml" TargetMode="External"/><Relationship Id="rId26" Type="http://schemas.openxmlformats.org/officeDocument/2006/relationships/hyperlink" Target="https://www.nxzw.gov.cn/zwgk/bmxxgkml/srlzyhshbzj/fdzdgknr_49501/bsfw_49515/202203/P020220322585886735299.pdf" TargetMode="External"/><Relationship Id="rId27" Type="http://schemas.openxmlformats.org/officeDocument/2006/relationships/hyperlink" Target="https://osta.mohrss.gov.cn/zyzgpj.html" TargetMode="External"/><Relationship Id="rId28" Type="http://schemas.openxmlformats.org/officeDocument/2006/relationships/hyperlink" Target="https://rsj.beijing.gov.cn/xxgk/2024zcwj/202603/W020260326424038666842.pdf" TargetMode="External"/><Relationship Id="rId29" Type="http://schemas.openxmlformats.org/officeDocument/2006/relationships/hyperlink" Target="https://big5.www.gov.cn/gate/big5/www.gov.cn/zhengce/2021-12/25/content_571288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中国大陆个人所得税抵扣与证书指南（2026修订版）</dc:title>
  <dc:subject>职业资格继续教育、专项附加扣除及其他个人所得税合法优化方法</dc:subject>
  <dc:creator>Codex</dc:creator>
  <cp:keywords>个人所得税, 专项附加扣除, 职业资格, 继续教育, 保安员证, 咖啡师证, 子女教育, 赡养老人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